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F98" w:rsidRDefault="00C60F98" w:rsidP="00C60F98">
      <w:pPr>
        <w:jc w:val="right"/>
        <w:rPr>
          <w:b/>
        </w:rPr>
      </w:pPr>
      <w:r>
        <w:rPr>
          <w:b/>
        </w:rPr>
        <w:t>1. számú melléklet</w:t>
      </w:r>
    </w:p>
    <w:p w:rsidR="00C60F98" w:rsidRDefault="00C60F98" w:rsidP="00C60F98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 xml:space="preserve">2016. évi </w:t>
      </w:r>
    </w:p>
    <w:p w:rsidR="00C60F98" w:rsidRDefault="00C60F98" w:rsidP="00C60F98">
      <w:pPr>
        <w:pStyle w:val="Cmsor6"/>
        <w:rPr>
          <w:sz w:val="28"/>
        </w:rPr>
      </w:pPr>
      <w:r>
        <w:rPr>
          <w:sz w:val="28"/>
        </w:rPr>
        <w:t>Belső ellenőrzési munkaterv</w:t>
      </w:r>
    </w:p>
    <w:p w:rsidR="00C60F98" w:rsidRDefault="00C60F98" w:rsidP="00C60F98">
      <w:pPr>
        <w:rPr>
          <w:b/>
          <w:sz w:val="22"/>
          <w:szCs w:val="22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497"/>
        <w:gridCol w:w="6050"/>
      </w:tblGrid>
      <w:tr w:rsidR="00C60F98" w:rsidTr="003347BC">
        <w:trPr>
          <w:cantSplit/>
          <w:trHeight w:val="510"/>
        </w:trPr>
        <w:tc>
          <w:tcPr>
            <w:tcW w:w="491" w:type="dxa"/>
            <w:vMerge w:val="restart"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497" w:type="dxa"/>
            <w:tcBorders>
              <w:bottom w:val="sing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ellenőrzött intézmény: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vAlign w:val="center"/>
          </w:tcPr>
          <w:p w:rsidR="00C60F98" w:rsidRDefault="00C60F98" w:rsidP="003347BC">
            <w:pPr>
              <w:pStyle w:val="Cmsor3"/>
            </w:pPr>
            <w:r>
              <w:t>Hévíz Város Önkormányzat, Intézmények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tcBorders>
              <w:bottom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tárgya:</w:t>
            </w:r>
          </w:p>
        </w:tc>
        <w:tc>
          <w:tcPr>
            <w:tcW w:w="6050" w:type="dxa"/>
            <w:tcBorders>
              <w:bottom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Normatív állami támogatások igénylésének, elszámolásának felülvizsgálata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célja:</w:t>
            </w:r>
          </w:p>
        </w:tc>
        <w:tc>
          <w:tcPr>
            <w:tcW w:w="6050" w:type="dxa"/>
            <w:tcBorders>
              <w:top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Az állami támogatások szabályszerű igénylésének és felhasználásának felülvizsgálata</w:t>
            </w:r>
          </w:p>
        </w:tc>
      </w:tr>
      <w:tr w:rsidR="00C60F98" w:rsidTr="003347BC">
        <w:trPr>
          <w:cantSplit/>
          <w:trHeight w:val="396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típusa: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Pénzügyi-gazdasági, szabályszerűségi</w:t>
            </w:r>
          </w:p>
        </w:tc>
      </w:tr>
      <w:tr w:rsidR="00C60F98" w:rsidTr="003347BC">
        <w:trPr>
          <w:cantSplit/>
          <w:trHeight w:val="351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módszere: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Mintavétel alapján</w:t>
            </w:r>
          </w:p>
        </w:tc>
      </w:tr>
      <w:tr w:rsidR="00C60F98" w:rsidTr="003347BC">
        <w:trPr>
          <w:cantSplit/>
          <w:trHeight w:val="36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ellenőrzött időszak: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 xml:space="preserve">2015. január 1-jétől 2016. február 28-ig 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ütemezése: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2016. I. negyedév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Szükséges ellenőrzési kapacitás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 xml:space="preserve">1 fő ellenőrnek 6 munkanap </w:t>
            </w:r>
          </w:p>
        </w:tc>
      </w:tr>
    </w:tbl>
    <w:p w:rsidR="00C60F98" w:rsidRDefault="00C60F98" w:rsidP="00C60F98">
      <w:pPr>
        <w:rPr>
          <w:b/>
          <w:sz w:val="22"/>
          <w:szCs w:val="22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497"/>
        <w:gridCol w:w="6050"/>
      </w:tblGrid>
      <w:tr w:rsidR="00C60F98" w:rsidTr="003347BC">
        <w:trPr>
          <w:cantSplit/>
          <w:trHeight w:val="510"/>
        </w:trPr>
        <w:tc>
          <w:tcPr>
            <w:tcW w:w="491" w:type="dxa"/>
            <w:vMerge w:val="restart"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497" w:type="dxa"/>
            <w:tcBorders>
              <w:bottom w:val="sing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ellenőrzött intézmény: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vAlign w:val="center"/>
          </w:tcPr>
          <w:p w:rsidR="00C60F98" w:rsidRDefault="00C60F98" w:rsidP="003347BC">
            <w:pPr>
              <w:pStyle w:val="Cmsor3"/>
            </w:pPr>
            <w:r>
              <w:t>Hévíz Város Önkormányzat, Polgármesteri Hivatal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tcBorders>
              <w:bottom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tárgya:</w:t>
            </w:r>
          </w:p>
        </w:tc>
        <w:tc>
          <w:tcPr>
            <w:tcW w:w="6050" w:type="dxa"/>
            <w:tcBorders>
              <w:bottom w:val="double" w:sz="4" w:space="0" w:color="auto"/>
            </w:tcBorders>
            <w:vAlign w:val="center"/>
          </w:tcPr>
          <w:p w:rsidR="00C60F98" w:rsidRDefault="00C60F98" w:rsidP="003347BC">
            <w:pPr>
              <w:pStyle w:val="Cmsor3"/>
            </w:pPr>
            <w:r>
              <w:t>Humánerőforrás gazdálkodás felülvizsgálata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célja:</w:t>
            </w:r>
          </w:p>
        </w:tc>
        <w:tc>
          <w:tcPr>
            <w:tcW w:w="6050" w:type="dxa"/>
            <w:tcBorders>
              <w:top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A szabályozottság, a hatékony és jogszerű létszámgazdálkodás és elszámolások felülvizsgálata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típusa: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Pénzügyi-gazdasági, szabályszerűségi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módszere: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Mintavétel alapján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ellenőrzött időszak: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 xml:space="preserve">2014. március 1-jétől 2016. március 31-ig 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ütemezése: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2016. II. negyedév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Szükséges ellenőrzési kapacitás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 xml:space="preserve">1 fő ellenőrnek 6 munkanap </w:t>
            </w:r>
          </w:p>
        </w:tc>
      </w:tr>
    </w:tbl>
    <w:p w:rsidR="00C60F98" w:rsidRDefault="00C60F98" w:rsidP="00C60F98">
      <w:pPr>
        <w:rPr>
          <w:b/>
          <w:sz w:val="22"/>
          <w:szCs w:val="22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497"/>
        <w:gridCol w:w="6050"/>
      </w:tblGrid>
      <w:tr w:rsidR="00C60F98" w:rsidTr="003347BC">
        <w:trPr>
          <w:cantSplit/>
          <w:trHeight w:val="510"/>
        </w:trPr>
        <w:tc>
          <w:tcPr>
            <w:tcW w:w="491" w:type="dxa"/>
            <w:vMerge w:val="restart"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497" w:type="dxa"/>
            <w:tcBorders>
              <w:bottom w:val="sing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ellenőrzött intézmény: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vAlign w:val="center"/>
          </w:tcPr>
          <w:p w:rsidR="00C60F98" w:rsidRDefault="00C60F98" w:rsidP="003347BC">
            <w:pPr>
              <w:pStyle w:val="Cmsor3"/>
            </w:pPr>
            <w:r>
              <w:t>Teréz Anya Szociális Integrált Intézmény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tcBorders>
              <w:bottom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tárgya:</w:t>
            </w:r>
          </w:p>
        </w:tc>
        <w:tc>
          <w:tcPr>
            <w:tcW w:w="6050" w:type="dxa"/>
            <w:tcBorders>
              <w:bottom w:val="double" w:sz="4" w:space="0" w:color="auto"/>
            </w:tcBorders>
            <w:vAlign w:val="center"/>
          </w:tcPr>
          <w:p w:rsidR="00C60F98" w:rsidRDefault="00C60F98" w:rsidP="003347BC">
            <w:pPr>
              <w:pStyle w:val="Cmsor3"/>
            </w:pPr>
            <w:r>
              <w:t>Intézmény gazdálkodásának átfogó pénzügyi ellenőrzése, működés elemzése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célja:</w:t>
            </w:r>
          </w:p>
        </w:tc>
        <w:tc>
          <w:tcPr>
            <w:tcW w:w="6050" w:type="dxa"/>
            <w:tcBorders>
              <w:top w:val="double" w:sz="4" w:space="0" w:color="auto"/>
            </w:tcBorders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A szabályozottság, a gazdálkodás és a működés átfogó áttekintése, hatékonyság elemzése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típusa: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Pénzügyi-gazdasági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módszere: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Mintavétel alapján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ellenőrzött időszak: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2014. január 1-jétől 2016. szeptember 30-ig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ellenőrzés ütemezése: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>2016. IV. negyedév</w:t>
            </w:r>
          </w:p>
        </w:tc>
      </w:tr>
      <w:tr w:rsidR="00C60F98" w:rsidTr="003347BC">
        <w:trPr>
          <w:cantSplit/>
          <w:trHeight w:val="510"/>
        </w:trPr>
        <w:tc>
          <w:tcPr>
            <w:tcW w:w="491" w:type="dxa"/>
            <w:vMerge/>
          </w:tcPr>
          <w:p w:rsidR="00C60F98" w:rsidRDefault="00C60F98" w:rsidP="003347BC">
            <w:pPr>
              <w:rPr>
                <w:b/>
                <w:sz w:val="22"/>
                <w:szCs w:val="22"/>
              </w:rPr>
            </w:pPr>
          </w:p>
        </w:tc>
        <w:tc>
          <w:tcPr>
            <w:tcW w:w="2497" w:type="dxa"/>
            <w:vAlign w:val="center"/>
          </w:tcPr>
          <w:p w:rsidR="00C60F98" w:rsidRDefault="00C60F98" w:rsidP="00334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Szükséges ellenőrzési kapacitás</w:t>
            </w:r>
          </w:p>
        </w:tc>
        <w:tc>
          <w:tcPr>
            <w:tcW w:w="6050" w:type="dxa"/>
            <w:vAlign w:val="center"/>
          </w:tcPr>
          <w:p w:rsidR="00C60F98" w:rsidRDefault="00C60F98" w:rsidP="003347BC">
            <w:pPr>
              <w:rPr>
                <w:sz w:val="22"/>
              </w:rPr>
            </w:pPr>
            <w:r>
              <w:rPr>
                <w:sz w:val="22"/>
              </w:rPr>
              <w:t xml:space="preserve">1 fő ellenőrnek 6 munkanap </w:t>
            </w:r>
          </w:p>
        </w:tc>
      </w:tr>
    </w:tbl>
    <w:p w:rsidR="00C60F98" w:rsidRDefault="00C60F98" w:rsidP="00C60F98">
      <w:pPr>
        <w:pStyle w:val="llb"/>
        <w:tabs>
          <w:tab w:val="clear" w:pos="4536"/>
          <w:tab w:val="clear" w:pos="9072"/>
        </w:tabs>
      </w:pPr>
    </w:p>
    <w:p w:rsidR="0044166C" w:rsidRDefault="0044166C">
      <w:bookmarkStart w:id="0" w:name="_GoBack"/>
      <w:bookmarkEnd w:id="0"/>
    </w:p>
    <w:sectPr w:rsidR="0044166C">
      <w:footerReference w:type="even" r:id="rId4"/>
      <w:footerReference w:type="default" r:id="rId5"/>
      <w:pgSz w:w="11906" w:h="16838"/>
      <w:pgMar w:top="1079" w:right="1287" w:bottom="1079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42" w:rsidRDefault="00C60F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26242" w:rsidRDefault="00C60F9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242" w:rsidRDefault="00C60F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26242" w:rsidRDefault="00C60F98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51"/>
    <w:rsid w:val="0044166C"/>
    <w:rsid w:val="00752290"/>
    <w:rsid w:val="00B91F51"/>
    <w:rsid w:val="00BD495A"/>
    <w:rsid w:val="00C6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09D89-1030-4ECB-823B-561ADB51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0F98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paragraph" w:styleId="Cmsor3">
    <w:name w:val="heading 3"/>
    <w:basedOn w:val="Norml"/>
    <w:next w:val="Norml"/>
    <w:link w:val="Cmsor3Char"/>
    <w:qFormat/>
    <w:rsid w:val="00C60F98"/>
    <w:pPr>
      <w:keepNext/>
      <w:outlineLvl w:val="2"/>
    </w:pPr>
    <w:rPr>
      <w:b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C60F98"/>
    <w:pPr>
      <w:keepNext/>
      <w:jc w:val="center"/>
      <w:outlineLvl w:val="5"/>
    </w:pPr>
    <w:rPr>
      <w:b/>
      <w:smallCap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229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Cmsor3Char">
    <w:name w:val="Címsor 3 Char"/>
    <w:basedOn w:val="Bekezdsalapbettpusa"/>
    <w:link w:val="Cmsor3"/>
    <w:rsid w:val="00C60F98"/>
    <w:rPr>
      <w:rFonts w:ascii="Times New Roman" w:eastAsia="Times New Roman" w:hAnsi="Times New Roman" w:cs="Times New Roman"/>
      <w:b/>
      <w:sz w:val="22"/>
      <w:szCs w:val="22"/>
      <w:lang w:eastAsia="hu-HU"/>
    </w:rPr>
  </w:style>
  <w:style w:type="character" w:customStyle="1" w:styleId="Cmsor6Char">
    <w:name w:val="Címsor 6 Char"/>
    <w:basedOn w:val="Bekezdsalapbettpusa"/>
    <w:link w:val="Cmsor6"/>
    <w:rsid w:val="00C60F98"/>
    <w:rPr>
      <w:rFonts w:ascii="Times New Roman" w:eastAsia="Times New Roman" w:hAnsi="Times New Roman" w:cs="Times New Roman"/>
      <w:b/>
      <w:smallCaps/>
      <w:lang w:eastAsia="hu-HU"/>
    </w:rPr>
  </w:style>
  <w:style w:type="paragraph" w:styleId="llb">
    <w:name w:val="footer"/>
    <w:basedOn w:val="Norml"/>
    <w:link w:val="llbChar"/>
    <w:semiHidden/>
    <w:rsid w:val="00C60F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sid w:val="00C60F98"/>
    <w:rPr>
      <w:rFonts w:ascii="Times New Roman" w:eastAsia="Times New Roman" w:hAnsi="Times New Roman" w:cs="Times New Roman"/>
      <w:lang w:eastAsia="hu-HU"/>
    </w:rPr>
  </w:style>
  <w:style w:type="character" w:styleId="Oldalszm">
    <w:name w:val="page number"/>
    <w:basedOn w:val="Bekezdsalapbettpusa"/>
    <w:semiHidden/>
    <w:rsid w:val="00C6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Csongrádiné Olasz Sára</dc:creator>
  <cp:keywords/>
  <dc:description/>
  <cp:lastModifiedBy>Csongrádiné Olasz Sára</cp:lastModifiedBy>
  <cp:revision>2</cp:revision>
  <dcterms:created xsi:type="dcterms:W3CDTF">2015-10-13T13:22:00Z</dcterms:created>
  <dcterms:modified xsi:type="dcterms:W3CDTF">2015-10-13T13:23:00Z</dcterms:modified>
</cp:coreProperties>
</file>